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39" w:rsidRPr="00873739" w:rsidRDefault="00873739" w:rsidP="00873739">
      <w:pPr>
        <w:pStyle w:val="Zag2"/>
        <w:widowControl w:val="0"/>
        <w:suppressAutoHyphens/>
        <w:spacing w:before="0" w:after="0"/>
        <w:ind w:left="0" w:right="-2" w:firstLine="709"/>
        <w:rPr>
          <w:rFonts w:ascii="Times New Roman" w:hAnsi="Times New Roman"/>
          <w:sz w:val="32"/>
          <w:szCs w:val="32"/>
          <w:lang w:val="uk-UA"/>
        </w:rPr>
      </w:pPr>
      <w:r w:rsidRPr="00873739">
        <w:rPr>
          <w:rFonts w:ascii="Times New Roman" w:hAnsi="Times New Roman"/>
          <w:i/>
          <w:sz w:val="32"/>
          <w:szCs w:val="32"/>
          <w:lang w:val="uk-UA"/>
        </w:rPr>
        <w:t>Тема:</w:t>
      </w:r>
      <w:r w:rsidRPr="00873739">
        <w:rPr>
          <w:rFonts w:ascii="Times New Roman" w:hAnsi="Times New Roman"/>
          <w:sz w:val="32"/>
          <w:szCs w:val="32"/>
          <w:lang w:val="uk-UA"/>
        </w:rPr>
        <w:t xml:space="preserve"> Лікарські засоби, що впливають на систему крові</w:t>
      </w:r>
    </w:p>
    <w:p w:rsidR="00873739" w:rsidRPr="00873739" w:rsidRDefault="00873739" w:rsidP="00873739">
      <w:pPr>
        <w:pStyle w:val="Zag2"/>
        <w:widowControl w:val="0"/>
        <w:suppressAutoHyphens/>
        <w:spacing w:before="0" w:after="0"/>
        <w:ind w:left="0" w:right="-2"/>
        <w:rPr>
          <w:rFonts w:ascii="Times New Roman" w:hAnsi="Times New Roman"/>
          <w:b w:val="0"/>
          <w:sz w:val="28"/>
          <w:szCs w:val="28"/>
          <w:lang w:val="uk-UA"/>
        </w:rPr>
      </w:pPr>
    </w:p>
    <w:p w:rsidR="00873739" w:rsidRPr="00873739" w:rsidRDefault="00873739" w:rsidP="00873739">
      <w:pPr>
        <w:pStyle w:val="Zag3"/>
        <w:widowControl w:val="0"/>
        <w:suppressAutoHyphens/>
        <w:spacing w:before="0" w:after="0"/>
        <w:ind w:firstLine="709"/>
        <w:rPr>
          <w:rFonts w:ascii="Times New Roman" w:hAnsi="Times New Roman"/>
          <w:i w:val="0"/>
          <w:sz w:val="28"/>
          <w:szCs w:val="28"/>
          <w:lang w:val="uk-UA"/>
        </w:rPr>
      </w:pPr>
    </w:p>
    <w:p w:rsidR="00873739" w:rsidRPr="00873739" w:rsidRDefault="00873739" w:rsidP="00873739">
      <w:pPr>
        <w:pStyle w:val="1"/>
        <w:widowControl w:val="0"/>
        <w:suppressAutoHyphens/>
        <w:spacing w:line="240" w:lineRule="auto"/>
        <w:ind w:right="-2"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Класифікація засобів, що впливають на систему крові, їх коротка характеристика.</w:t>
      </w:r>
    </w:p>
    <w:p w:rsidR="00873739" w:rsidRPr="00873739" w:rsidRDefault="00873739" w:rsidP="00873739">
      <w:pPr>
        <w:pStyle w:val="1"/>
        <w:widowControl w:val="0"/>
        <w:suppressAutoHyphens/>
        <w:spacing w:line="240" w:lineRule="auto"/>
        <w:ind w:right="-2"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3739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Засоби, що стимулюють </w:t>
      </w:r>
      <w:proofErr w:type="spellStart"/>
      <w:r w:rsidRPr="00873739">
        <w:rPr>
          <w:rFonts w:ascii="Times New Roman" w:hAnsi="Times New Roman"/>
          <w:i/>
          <w:color w:val="auto"/>
          <w:sz w:val="28"/>
          <w:szCs w:val="28"/>
          <w:lang w:val="uk-UA"/>
        </w:rPr>
        <w:t>еритропоез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. Основні представники: заліза лактат,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ферковен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фолієва кислота,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ферамід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ферокаль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фероплекс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ферковен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фербітол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коамід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ціанокобаламін. Форми випуску, спосіб застосування. Застосування препаратів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Феруму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Кобальту та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Купруму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 при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гіпохромній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 анемії. Показання для застосування кислоти фолієвої та ціанокобаламіну.</w:t>
      </w:r>
    </w:p>
    <w:p w:rsidR="00873739" w:rsidRPr="00873739" w:rsidRDefault="00873739" w:rsidP="00873739">
      <w:pPr>
        <w:pStyle w:val="1"/>
        <w:widowControl w:val="0"/>
        <w:suppressAutoHyphens/>
        <w:spacing w:line="240" w:lineRule="auto"/>
        <w:ind w:right="-2"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3739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Засоби, що стимулюють </w:t>
      </w:r>
      <w:proofErr w:type="spellStart"/>
      <w:r w:rsidRPr="00873739">
        <w:rPr>
          <w:rFonts w:ascii="Times New Roman" w:hAnsi="Times New Roman"/>
          <w:i/>
          <w:color w:val="auto"/>
          <w:sz w:val="28"/>
          <w:szCs w:val="28"/>
          <w:lang w:val="uk-UA"/>
        </w:rPr>
        <w:t>лейкопоез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. Основні представники: натрію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нуклеїнат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метилурацил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пентоксил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. Форми випуску, спосіб застосування.</w:t>
      </w:r>
    </w:p>
    <w:p w:rsidR="00873739" w:rsidRPr="00873739" w:rsidRDefault="00873739" w:rsidP="00873739">
      <w:pPr>
        <w:pStyle w:val="1"/>
        <w:widowControl w:val="0"/>
        <w:suppressAutoHyphens/>
        <w:spacing w:line="240" w:lineRule="auto"/>
        <w:ind w:right="-2"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3739">
        <w:rPr>
          <w:rFonts w:ascii="Times New Roman" w:hAnsi="Times New Roman"/>
          <w:i/>
          <w:color w:val="auto"/>
          <w:sz w:val="28"/>
          <w:szCs w:val="28"/>
          <w:lang w:val="uk-UA"/>
        </w:rPr>
        <w:t>Засоби, що підвищують згортання крові (</w:t>
      </w:r>
      <w:proofErr w:type="spellStart"/>
      <w:r w:rsidRPr="00873739">
        <w:rPr>
          <w:rFonts w:ascii="Times New Roman" w:hAnsi="Times New Roman"/>
          <w:i/>
          <w:color w:val="auto"/>
          <w:sz w:val="28"/>
          <w:szCs w:val="28"/>
          <w:lang w:val="uk-UA"/>
        </w:rPr>
        <w:t>гемостатики</w:t>
      </w:r>
      <w:proofErr w:type="spellEnd"/>
      <w:r w:rsidRPr="00873739">
        <w:rPr>
          <w:rFonts w:ascii="Times New Roman" w:hAnsi="Times New Roman"/>
          <w:i/>
          <w:color w:val="auto"/>
          <w:sz w:val="28"/>
          <w:szCs w:val="28"/>
          <w:lang w:val="uk-UA"/>
        </w:rPr>
        <w:t>), їх класифікація</w:t>
      </w:r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</w:p>
    <w:p w:rsidR="00873739" w:rsidRPr="00873739" w:rsidRDefault="00873739" w:rsidP="00873739">
      <w:pPr>
        <w:pStyle w:val="1"/>
        <w:widowControl w:val="0"/>
        <w:suppressAutoHyphens/>
        <w:spacing w:line="240" w:lineRule="auto"/>
        <w:ind w:right="-2"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Засоби, що є компонентами системи згортання крові: тромбін, фібриноген, вікасол, кальцію хлорид. Засоби, що блокують процес фібринолізу: амінокапронова кислота,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контрикал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. Форми випуску, спосіб застосування.</w:t>
      </w:r>
    </w:p>
    <w:p w:rsidR="00873739" w:rsidRPr="00873739" w:rsidRDefault="00873739" w:rsidP="00873739">
      <w:pPr>
        <w:widowControl w:val="0"/>
        <w:tabs>
          <w:tab w:val="left" w:pos="204"/>
        </w:tabs>
        <w:suppressAutoHyphens/>
        <w:ind w:right="-2" w:firstLine="709"/>
        <w:jc w:val="both"/>
        <w:rPr>
          <w:sz w:val="28"/>
          <w:szCs w:val="28"/>
        </w:rPr>
      </w:pPr>
      <w:r w:rsidRPr="00873739">
        <w:rPr>
          <w:i/>
          <w:sz w:val="28"/>
          <w:szCs w:val="28"/>
        </w:rPr>
        <w:t>Засоби, що гальмують згортання крові (антикоагулянти), їх класифікація.</w:t>
      </w:r>
      <w:r w:rsidRPr="00873739">
        <w:rPr>
          <w:sz w:val="28"/>
          <w:szCs w:val="28"/>
        </w:rPr>
        <w:t xml:space="preserve"> </w:t>
      </w:r>
    </w:p>
    <w:p w:rsidR="00873739" w:rsidRPr="00873739" w:rsidRDefault="00873739" w:rsidP="00873739">
      <w:pPr>
        <w:widowControl w:val="0"/>
        <w:tabs>
          <w:tab w:val="left" w:pos="204"/>
        </w:tabs>
        <w:suppressAutoHyphens/>
        <w:ind w:right="-2" w:firstLine="709"/>
        <w:jc w:val="both"/>
        <w:rPr>
          <w:sz w:val="28"/>
          <w:szCs w:val="28"/>
        </w:rPr>
      </w:pPr>
      <w:r w:rsidRPr="00873739">
        <w:rPr>
          <w:sz w:val="28"/>
          <w:szCs w:val="28"/>
        </w:rPr>
        <w:t xml:space="preserve">Антикоагулянти прямої дії: гепарин, форми випуску, особливості застосування, побічна дія. </w:t>
      </w:r>
    </w:p>
    <w:p w:rsidR="00873739" w:rsidRPr="00873739" w:rsidRDefault="00873739" w:rsidP="00873739">
      <w:pPr>
        <w:widowControl w:val="0"/>
        <w:tabs>
          <w:tab w:val="left" w:pos="204"/>
        </w:tabs>
        <w:suppressAutoHyphens/>
        <w:ind w:right="-2" w:firstLine="709"/>
        <w:jc w:val="both"/>
        <w:rPr>
          <w:sz w:val="28"/>
          <w:szCs w:val="28"/>
        </w:rPr>
      </w:pPr>
      <w:r w:rsidRPr="00873739">
        <w:rPr>
          <w:sz w:val="28"/>
          <w:szCs w:val="28"/>
        </w:rPr>
        <w:t xml:space="preserve">Антикоагулянти непрямої дії: </w:t>
      </w:r>
      <w:proofErr w:type="spellStart"/>
      <w:r w:rsidRPr="00873739">
        <w:rPr>
          <w:sz w:val="28"/>
          <w:szCs w:val="28"/>
        </w:rPr>
        <w:t>неодикумарин</w:t>
      </w:r>
      <w:proofErr w:type="spellEnd"/>
      <w:r w:rsidRPr="00873739">
        <w:rPr>
          <w:sz w:val="28"/>
          <w:szCs w:val="28"/>
        </w:rPr>
        <w:t xml:space="preserve">, </w:t>
      </w:r>
      <w:proofErr w:type="spellStart"/>
      <w:r w:rsidRPr="00873739">
        <w:rPr>
          <w:sz w:val="28"/>
          <w:szCs w:val="28"/>
        </w:rPr>
        <w:t>фенілін</w:t>
      </w:r>
      <w:proofErr w:type="spellEnd"/>
      <w:r w:rsidRPr="00873739">
        <w:rPr>
          <w:sz w:val="28"/>
          <w:szCs w:val="28"/>
        </w:rPr>
        <w:t xml:space="preserve">, </w:t>
      </w:r>
      <w:proofErr w:type="spellStart"/>
      <w:r w:rsidRPr="00873739">
        <w:rPr>
          <w:sz w:val="28"/>
          <w:szCs w:val="28"/>
        </w:rPr>
        <w:t>синкумар</w:t>
      </w:r>
      <w:proofErr w:type="spellEnd"/>
      <w:r w:rsidRPr="00873739">
        <w:rPr>
          <w:sz w:val="28"/>
          <w:szCs w:val="28"/>
        </w:rPr>
        <w:t xml:space="preserve">. Форми випуску, фармакологічна дія, особливості застосування, побічна дія. </w:t>
      </w:r>
    </w:p>
    <w:p w:rsidR="00873739" w:rsidRPr="00873739" w:rsidRDefault="00873739" w:rsidP="00873739">
      <w:pPr>
        <w:widowControl w:val="0"/>
        <w:tabs>
          <w:tab w:val="left" w:pos="204"/>
        </w:tabs>
        <w:suppressAutoHyphens/>
        <w:ind w:right="-2" w:firstLine="709"/>
        <w:jc w:val="both"/>
        <w:rPr>
          <w:spacing w:val="-6"/>
          <w:sz w:val="28"/>
          <w:szCs w:val="28"/>
        </w:rPr>
      </w:pPr>
      <w:r w:rsidRPr="00873739">
        <w:rPr>
          <w:spacing w:val="-6"/>
          <w:sz w:val="28"/>
          <w:szCs w:val="28"/>
        </w:rPr>
        <w:t xml:space="preserve">Антикоагулянти, що діють поза організмом: натрію цитрат. Застосування натрію </w:t>
      </w:r>
      <w:proofErr w:type="spellStart"/>
      <w:r w:rsidRPr="00873739">
        <w:rPr>
          <w:spacing w:val="-6"/>
          <w:sz w:val="28"/>
          <w:szCs w:val="28"/>
        </w:rPr>
        <w:t>гідроцитрату</w:t>
      </w:r>
      <w:proofErr w:type="spellEnd"/>
      <w:r w:rsidRPr="00873739">
        <w:rPr>
          <w:spacing w:val="-6"/>
          <w:sz w:val="28"/>
          <w:szCs w:val="28"/>
        </w:rPr>
        <w:t xml:space="preserve"> для стабілізації крові при консервації.</w:t>
      </w:r>
    </w:p>
    <w:p w:rsidR="00873739" w:rsidRPr="00873739" w:rsidRDefault="00873739" w:rsidP="00873739">
      <w:pPr>
        <w:pStyle w:val="1"/>
        <w:widowControl w:val="0"/>
        <w:suppressAutoHyphens/>
        <w:spacing w:line="240" w:lineRule="auto"/>
        <w:ind w:right="-2"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873739">
        <w:rPr>
          <w:rFonts w:ascii="Times New Roman" w:hAnsi="Times New Roman"/>
          <w:i/>
          <w:color w:val="auto"/>
          <w:sz w:val="28"/>
          <w:szCs w:val="28"/>
          <w:lang w:val="uk-UA"/>
        </w:rPr>
        <w:t>Антиагреганти</w:t>
      </w:r>
      <w:proofErr w:type="spellEnd"/>
      <w:r w:rsidRPr="00873739">
        <w:rPr>
          <w:rFonts w:ascii="Times New Roman" w:hAnsi="Times New Roman"/>
          <w:i/>
          <w:color w:val="auto"/>
          <w:sz w:val="28"/>
          <w:szCs w:val="28"/>
          <w:lang w:val="uk-UA"/>
        </w:rPr>
        <w:t>:</w:t>
      </w:r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 ацетилсаліцилова кислота,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дипіридамол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. Форми випуску, показання до застосування.</w:t>
      </w:r>
    </w:p>
    <w:p w:rsidR="00873739" w:rsidRPr="00873739" w:rsidRDefault="00873739" w:rsidP="00873739">
      <w:pPr>
        <w:pStyle w:val="1"/>
        <w:widowControl w:val="0"/>
        <w:suppressAutoHyphens/>
        <w:spacing w:line="240" w:lineRule="auto"/>
        <w:ind w:right="-2"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873739">
        <w:rPr>
          <w:rFonts w:ascii="Times New Roman" w:hAnsi="Times New Roman"/>
          <w:i/>
          <w:color w:val="auto"/>
          <w:sz w:val="28"/>
          <w:szCs w:val="28"/>
          <w:lang w:val="uk-UA"/>
        </w:rPr>
        <w:t>Фібринолітичні</w:t>
      </w:r>
      <w:proofErr w:type="spellEnd"/>
      <w:r w:rsidRPr="00873739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 засоби</w:t>
      </w:r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: фібринолізин,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стрептоліаза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стрептодеказа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. Форми випуску, показання до застосування.</w:t>
      </w:r>
    </w:p>
    <w:p w:rsidR="00873739" w:rsidRPr="00873739" w:rsidRDefault="00873739" w:rsidP="00873739">
      <w:pPr>
        <w:pStyle w:val="1"/>
        <w:widowControl w:val="0"/>
        <w:suppressAutoHyphens/>
        <w:spacing w:line="240" w:lineRule="auto"/>
        <w:ind w:right="-2"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Поняття про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протибластомні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 засоби. Коротка характеристика групи, механізм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цитостатичної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 дії. Основні препарати (препарати, що призначають при лейкозах).</w:t>
      </w:r>
    </w:p>
    <w:p w:rsidR="00873739" w:rsidRPr="00873739" w:rsidRDefault="00873739" w:rsidP="00873739">
      <w:pPr>
        <w:pStyle w:val="1"/>
        <w:widowControl w:val="0"/>
        <w:suppressAutoHyphens/>
        <w:spacing w:line="240" w:lineRule="auto"/>
        <w:ind w:right="-2"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Засоби для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трансфузійної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 терапії (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дисоль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ацесоль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реополіглюкін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неогемодез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>амінопептид</w:t>
      </w:r>
      <w:proofErr w:type="spellEnd"/>
      <w:r w:rsidRPr="00873739">
        <w:rPr>
          <w:rFonts w:ascii="Times New Roman" w:hAnsi="Times New Roman"/>
          <w:color w:val="auto"/>
          <w:sz w:val="28"/>
          <w:szCs w:val="28"/>
          <w:lang w:val="uk-UA"/>
        </w:rPr>
        <w:t xml:space="preserve"> та ін.). Властивості та застосування окремих препаратів.</w:t>
      </w:r>
    </w:p>
    <w:p w:rsidR="00AE29BC" w:rsidRDefault="00AE29B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29BC" w:rsidRDefault="00AE29BC" w:rsidP="00AE29BC">
      <w:pPr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lastRenderedPageBreak/>
        <w:t xml:space="preserve">Тема: Препарати жіночих статевих гормонів. Лікарські засоби, що впливають на тонус і скоротливу активність </w:t>
      </w:r>
      <w:proofErr w:type="spellStart"/>
      <w:r>
        <w:rPr>
          <w:b/>
          <w:sz w:val="32"/>
          <w:szCs w:val="32"/>
        </w:rPr>
        <w:t>міометрія</w:t>
      </w:r>
      <w:proofErr w:type="spellEnd"/>
    </w:p>
    <w:p w:rsidR="00AE29BC" w:rsidRDefault="00AE29BC" w:rsidP="00AE29BC">
      <w:pPr>
        <w:rPr>
          <w:b/>
          <w:sz w:val="32"/>
          <w:szCs w:val="32"/>
        </w:rPr>
      </w:pPr>
    </w:p>
    <w:p w:rsidR="00AE29BC" w:rsidRDefault="00AE29BC" w:rsidP="00AE29BC">
      <w:pPr>
        <w:widowControl w:val="0"/>
        <w:suppressAutoHyphens/>
        <w:ind w:right="-2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Препарати гормонів яєчників, класифікація.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Естрогенні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гестагенні</w:t>
      </w:r>
      <w:proofErr w:type="spellEnd"/>
      <w:r>
        <w:rPr>
          <w:sz w:val="28"/>
          <w:szCs w:val="28"/>
        </w:rPr>
        <w:t xml:space="preserve"> гормони, їх фізіологічне значення. Основні гормональні препарати: естрон (фолікулін), </w:t>
      </w:r>
      <w:proofErr w:type="spellStart"/>
      <w:r>
        <w:rPr>
          <w:sz w:val="28"/>
          <w:szCs w:val="28"/>
        </w:rPr>
        <w:t>синестрол</w:t>
      </w:r>
      <w:proofErr w:type="spellEnd"/>
      <w:r>
        <w:rPr>
          <w:sz w:val="28"/>
          <w:szCs w:val="28"/>
        </w:rPr>
        <w:t>, прогестерон. Форми випуску, застосування, протипоказання, побічна дія. Контрацептивні засоби для перорального призначення. Механізм контрацептивної дії, схема застосування (</w:t>
      </w:r>
      <w:proofErr w:type="spellStart"/>
      <w:r>
        <w:rPr>
          <w:sz w:val="28"/>
          <w:szCs w:val="28"/>
        </w:rPr>
        <w:t>ноновлон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ригевідон</w:t>
      </w:r>
      <w:proofErr w:type="spellEnd"/>
      <w:r>
        <w:rPr>
          <w:sz w:val="28"/>
          <w:szCs w:val="28"/>
        </w:rPr>
        <w:t xml:space="preserve"> та ін.).</w:t>
      </w:r>
    </w:p>
    <w:p w:rsidR="00AE29BC" w:rsidRDefault="00AE29BC" w:rsidP="00AE29BC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Класифікація речовин, що впливають на тонус і скоротливу активність </w:t>
      </w:r>
      <w:proofErr w:type="spellStart"/>
      <w:r>
        <w:rPr>
          <w:i/>
          <w:sz w:val="28"/>
          <w:szCs w:val="28"/>
        </w:rPr>
        <w:t>міометрія</w:t>
      </w:r>
      <w:proofErr w:type="spellEnd"/>
      <w:r>
        <w:rPr>
          <w:i/>
          <w:sz w:val="28"/>
          <w:szCs w:val="28"/>
        </w:rPr>
        <w:t xml:space="preserve">. </w:t>
      </w:r>
    </w:p>
    <w:p w:rsidR="00AE29BC" w:rsidRDefault="00AE29BC" w:rsidP="00AE29BC">
      <w:pPr>
        <w:widowControl w:val="0"/>
        <w:tabs>
          <w:tab w:val="left" w:pos="7438"/>
        </w:tabs>
        <w:suppressAutoHyphens/>
        <w:ind w:right="-2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Засоби, що зумовлюють ритмічні скорочення </w:t>
      </w:r>
      <w:proofErr w:type="spellStart"/>
      <w:r>
        <w:rPr>
          <w:i/>
          <w:sz w:val="28"/>
          <w:szCs w:val="28"/>
        </w:rPr>
        <w:t>міометрія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гормональні препарати гіпофіза — </w:t>
      </w:r>
      <w:proofErr w:type="spellStart"/>
      <w:r>
        <w:rPr>
          <w:sz w:val="28"/>
          <w:szCs w:val="28"/>
        </w:rPr>
        <w:t>окситоцин</w:t>
      </w:r>
      <w:proofErr w:type="spellEnd"/>
      <w:r>
        <w:rPr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 xml:space="preserve">його властивості, шляхи введення, механізм дії на </w:t>
      </w:r>
      <w:proofErr w:type="spellStart"/>
      <w:r>
        <w:rPr>
          <w:snapToGrid w:val="0"/>
          <w:sz w:val="28"/>
          <w:szCs w:val="28"/>
        </w:rPr>
        <w:t>міометрій</w:t>
      </w:r>
      <w:proofErr w:type="spellEnd"/>
      <w:r>
        <w:rPr>
          <w:snapToGrid w:val="0"/>
          <w:sz w:val="28"/>
          <w:szCs w:val="28"/>
        </w:rPr>
        <w:t>, показання і протипоказання до застосування, побічні ефекти)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гіфотоцин</w:t>
      </w:r>
      <w:proofErr w:type="spellEnd"/>
      <w:r>
        <w:rPr>
          <w:sz w:val="28"/>
          <w:szCs w:val="28"/>
        </w:rPr>
        <w:t xml:space="preserve"> (о</w:t>
      </w:r>
      <w:r>
        <w:rPr>
          <w:snapToGrid w:val="0"/>
          <w:sz w:val="28"/>
          <w:szCs w:val="28"/>
        </w:rPr>
        <w:t>собливості дії, особливості введення при пологах)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простагландини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динопрост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простенон</w:t>
      </w:r>
      <w:proofErr w:type="spellEnd"/>
      <w:r>
        <w:rPr>
          <w:sz w:val="28"/>
          <w:szCs w:val="28"/>
        </w:rPr>
        <w:t xml:space="preserve"> (їхні властивості, механізм дії, шляхи введення, побічна дія, протипоказання).</w:t>
      </w:r>
    </w:p>
    <w:p w:rsidR="00AE29BC" w:rsidRDefault="00AE29BC" w:rsidP="00AE29BC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Застосування наркотичних засобів, М-</w:t>
      </w:r>
      <w:proofErr w:type="spellStart"/>
      <w:r>
        <w:rPr>
          <w:snapToGrid w:val="0"/>
          <w:sz w:val="28"/>
          <w:szCs w:val="28"/>
        </w:rPr>
        <w:t>холіноблокаторів</w:t>
      </w:r>
      <w:proofErr w:type="spellEnd"/>
      <w:r>
        <w:rPr>
          <w:snapToGrid w:val="0"/>
          <w:sz w:val="28"/>
          <w:szCs w:val="28"/>
        </w:rPr>
        <w:t xml:space="preserve">, </w:t>
      </w:r>
      <w:proofErr w:type="spellStart"/>
      <w:r>
        <w:rPr>
          <w:snapToGrid w:val="0"/>
          <w:sz w:val="28"/>
          <w:szCs w:val="28"/>
        </w:rPr>
        <w:t>спазмолітиків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міотропної</w:t>
      </w:r>
      <w:proofErr w:type="spellEnd"/>
      <w:r>
        <w:rPr>
          <w:snapToGrid w:val="0"/>
          <w:sz w:val="28"/>
          <w:szCs w:val="28"/>
        </w:rPr>
        <w:t xml:space="preserve"> дії, </w:t>
      </w:r>
      <w:r>
        <w:rPr>
          <w:sz w:val="28"/>
          <w:szCs w:val="28"/>
        </w:rPr>
        <w:t>бета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-адреноміметиків (</w:t>
      </w:r>
      <w:proofErr w:type="spellStart"/>
      <w:r>
        <w:rPr>
          <w:sz w:val="28"/>
          <w:szCs w:val="28"/>
        </w:rPr>
        <w:t>партусистен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гестагенів</w:t>
      </w:r>
      <w:proofErr w:type="spellEnd"/>
      <w:r>
        <w:rPr>
          <w:sz w:val="28"/>
          <w:szCs w:val="28"/>
        </w:rPr>
        <w:t xml:space="preserve"> (прогестерон) для послаблення пологової діяльності.</w:t>
      </w:r>
    </w:p>
    <w:p w:rsidR="00AE29BC" w:rsidRDefault="00AE29BC" w:rsidP="00AE29BC">
      <w:pPr>
        <w:widowControl w:val="0"/>
        <w:tabs>
          <w:tab w:val="left" w:pos="7438"/>
        </w:tabs>
        <w:suppressAutoHyphens/>
        <w:ind w:right="-2" w:firstLine="709"/>
        <w:jc w:val="both"/>
        <w:rPr>
          <w:snapToGrid w:val="0"/>
          <w:sz w:val="28"/>
          <w:szCs w:val="28"/>
        </w:rPr>
      </w:pPr>
      <w:r>
        <w:rPr>
          <w:i/>
          <w:sz w:val="28"/>
          <w:szCs w:val="28"/>
        </w:rPr>
        <w:t xml:space="preserve">Засоби, що зумовлюють тонічні скорочення </w:t>
      </w:r>
      <w:proofErr w:type="spellStart"/>
      <w:r>
        <w:rPr>
          <w:i/>
          <w:sz w:val="28"/>
          <w:szCs w:val="28"/>
        </w:rPr>
        <w:t>міометрія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препарати маткових ріжків — </w:t>
      </w:r>
      <w:proofErr w:type="spellStart"/>
      <w:r>
        <w:rPr>
          <w:sz w:val="28"/>
          <w:szCs w:val="28"/>
        </w:rPr>
        <w:t>метилергометрин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ерготал</w:t>
      </w:r>
      <w:proofErr w:type="spellEnd"/>
      <w:r>
        <w:rPr>
          <w:sz w:val="28"/>
          <w:szCs w:val="28"/>
        </w:rPr>
        <w:t xml:space="preserve">, ерготамін. Їх вплив на </w:t>
      </w:r>
      <w:proofErr w:type="spellStart"/>
      <w:r>
        <w:rPr>
          <w:sz w:val="28"/>
          <w:szCs w:val="28"/>
        </w:rPr>
        <w:t>міометрій</w:t>
      </w:r>
      <w:proofErr w:type="spellEnd"/>
      <w:r>
        <w:rPr>
          <w:sz w:val="28"/>
          <w:szCs w:val="28"/>
        </w:rPr>
        <w:t xml:space="preserve">. Механізм дії при кровотечах. Показання та протипоказання до застосування. </w:t>
      </w:r>
      <w:r>
        <w:rPr>
          <w:snapToGrid w:val="0"/>
          <w:sz w:val="28"/>
          <w:szCs w:val="28"/>
        </w:rPr>
        <w:t>Використання рослинних препаратів при маткових кровотечах (трава грициків, кора калини, листя кропиви, трава гірчака перцевого).</w:t>
      </w:r>
    </w:p>
    <w:p w:rsidR="00AE29BC" w:rsidRDefault="00AE29BC" w:rsidP="00AE29BC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Засоби, що розслаблюють </w:t>
      </w:r>
      <w:proofErr w:type="spellStart"/>
      <w:r>
        <w:rPr>
          <w:i/>
          <w:sz w:val="28"/>
          <w:szCs w:val="28"/>
        </w:rPr>
        <w:t>міометрій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токолітичні</w:t>
      </w:r>
      <w:proofErr w:type="spellEnd"/>
      <w:r>
        <w:rPr>
          <w:i/>
          <w:sz w:val="28"/>
          <w:szCs w:val="28"/>
        </w:rPr>
        <w:t xml:space="preserve"> засоби):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партусистен</w:t>
      </w:r>
      <w:proofErr w:type="spellEnd"/>
      <w:r>
        <w:rPr>
          <w:sz w:val="28"/>
          <w:szCs w:val="28"/>
        </w:rPr>
        <w:t>, його властивості, механізм дії, показання та протипоказання до застосування.</w:t>
      </w:r>
    </w:p>
    <w:p w:rsidR="00AE29BC" w:rsidRDefault="00AE29BC" w:rsidP="00AE29BC">
      <w:pPr>
        <w:widowControl w:val="0"/>
        <w:suppressAutoHyphens/>
        <w:autoSpaceDE w:val="0"/>
        <w:autoSpaceDN w:val="0"/>
        <w:adjustRightInd w:val="0"/>
        <w:ind w:right="-2"/>
        <w:jc w:val="both"/>
        <w:rPr>
          <w:rFonts w:ascii="SchoolBookCTT" w:hAnsi="SchoolBookCTT"/>
        </w:rPr>
      </w:pPr>
    </w:p>
    <w:p w:rsidR="00AE29BC" w:rsidRDefault="00AE29BC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br w:type="page"/>
      </w:r>
    </w:p>
    <w:p w:rsidR="00AE29BC" w:rsidRDefault="00AE29BC" w:rsidP="00AE29BC">
      <w:pPr>
        <w:jc w:val="both"/>
        <w:rPr>
          <w:b/>
          <w:sz w:val="32"/>
          <w:szCs w:val="32"/>
          <w:lang w:val="ru-RU" w:eastAsia="en-US"/>
        </w:rPr>
      </w:pPr>
      <w:r>
        <w:rPr>
          <w:b/>
          <w:sz w:val="32"/>
          <w:szCs w:val="32"/>
        </w:rPr>
        <w:lastRenderedPageBreak/>
        <w:t>Тема: Гормональні препарати, їх синтетичні замінники та антагоністи</w:t>
      </w:r>
    </w:p>
    <w:p w:rsidR="00AE29BC" w:rsidRDefault="00AE29BC" w:rsidP="00AE29BC">
      <w:pPr>
        <w:jc w:val="both"/>
        <w:rPr>
          <w:sz w:val="28"/>
          <w:szCs w:val="28"/>
        </w:rPr>
      </w:pPr>
    </w:p>
    <w:p w:rsidR="00AE29BC" w:rsidRDefault="00AE29BC" w:rsidP="00AE29B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Гормони і гормональні препарати, їх класифікація та фізіологічне значення.</w:t>
      </w:r>
    </w:p>
    <w:p w:rsidR="00AE29BC" w:rsidRDefault="00AE29BC" w:rsidP="00AE29B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Препарати гормонів гіпофіза.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Препарати гормонів передньої частки гіпофіза</w:t>
      </w:r>
      <w:r>
        <w:rPr>
          <w:sz w:val="28"/>
          <w:szCs w:val="28"/>
        </w:rPr>
        <w:t>. Кортикотропін, форми випуску, фармакологічна дія та застосування.</w:t>
      </w:r>
    </w:p>
    <w:p w:rsidR="00AE29BC" w:rsidRDefault="00AE29BC" w:rsidP="00AE29B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Препарати середньої частки гіпофіза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Мелатонін</w:t>
      </w:r>
      <w:proofErr w:type="spellEnd"/>
      <w:r>
        <w:rPr>
          <w:sz w:val="28"/>
          <w:szCs w:val="28"/>
        </w:rPr>
        <w:t xml:space="preserve">. </w:t>
      </w:r>
    </w:p>
    <w:p w:rsidR="00AE29BC" w:rsidRDefault="00AE29BC" w:rsidP="00AE29BC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</w:rPr>
        <w:t>Препарати гормонів задньої частки гіпофіза.</w:t>
      </w:r>
      <w:r>
        <w:rPr>
          <w:sz w:val="28"/>
          <w:szCs w:val="28"/>
        </w:rPr>
        <w:t xml:space="preserve"> Вплив на матку </w:t>
      </w:r>
      <w:proofErr w:type="spellStart"/>
      <w:r>
        <w:rPr>
          <w:sz w:val="28"/>
          <w:szCs w:val="28"/>
        </w:rPr>
        <w:t>окситоцину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пітуїтрину</w:t>
      </w:r>
      <w:proofErr w:type="spellEnd"/>
      <w:r>
        <w:rPr>
          <w:sz w:val="28"/>
          <w:szCs w:val="28"/>
        </w:rPr>
        <w:t xml:space="preserve">, форми випуску та застосування, шляхи введення. </w:t>
      </w:r>
      <w:proofErr w:type="spellStart"/>
      <w:r>
        <w:rPr>
          <w:sz w:val="28"/>
          <w:szCs w:val="28"/>
        </w:rPr>
        <w:t>Адіурекрин</w:t>
      </w:r>
      <w:proofErr w:type="spellEnd"/>
      <w:r>
        <w:rPr>
          <w:sz w:val="28"/>
          <w:szCs w:val="28"/>
        </w:rPr>
        <w:t>, форми випуску та застосування при нецукровому діабеті.</w:t>
      </w:r>
    </w:p>
    <w:p w:rsidR="00AE29BC" w:rsidRDefault="00AE29BC" w:rsidP="00AE29B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Препарати гормонів щитоподібної залози.</w:t>
      </w:r>
      <w:r>
        <w:rPr>
          <w:sz w:val="28"/>
          <w:szCs w:val="28"/>
        </w:rPr>
        <w:t xml:space="preserve"> Вплив гормонів щитоподібної залози на обмін речовин. Тиреоїдин та </w:t>
      </w:r>
      <w:proofErr w:type="spellStart"/>
      <w:r>
        <w:rPr>
          <w:sz w:val="28"/>
          <w:szCs w:val="28"/>
        </w:rPr>
        <w:t>трийодтиронін</w:t>
      </w:r>
      <w:proofErr w:type="spellEnd"/>
      <w:r>
        <w:rPr>
          <w:sz w:val="28"/>
          <w:szCs w:val="28"/>
        </w:rPr>
        <w:t>, форми випуску, застосування, побічна дія.</w:t>
      </w:r>
    </w:p>
    <w:p w:rsidR="00AE29BC" w:rsidRDefault="00AE29BC" w:rsidP="00AE29BC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Антитиреоїдні</w:t>
      </w:r>
      <w:proofErr w:type="spellEnd"/>
      <w:r>
        <w:rPr>
          <w:i/>
          <w:sz w:val="28"/>
          <w:szCs w:val="28"/>
        </w:rPr>
        <w:t xml:space="preserve"> засоби.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Мерказоліл</w:t>
      </w:r>
      <w:proofErr w:type="spellEnd"/>
      <w:r>
        <w:rPr>
          <w:sz w:val="28"/>
          <w:szCs w:val="28"/>
        </w:rPr>
        <w:t>, форми випуску, фармакологічна дія, застосування, побічна дія. Застосування препаратів йоду при гіпофункції та гіперфункції щитоподібної залози.</w:t>
      </w:r>
    </w:p>
    <w:p w:rsidR="00AE29BC" w:rsidRDefault="00AE29BC" w:rsidP="00AE29B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Препарати гормонів </w:t>
      </w:r>
      <w:proofErr w:type="spellStart"/>
      <w:r>
        <w:rPr>
          <w:b/>
          <w:i/>
          <w:sz w:val="28"/>
          <w:szCs w:val="28"/>
        </w:rPr>
        <w:t>прищитоподібних</w:t>
      </w:r>
      <w:proofErr w:type="spellEnd"/>
      <w:r>
        <w:rPr>
          <w:b/>
          <w:i/>
          <w:sz w:val="28"/>
          <w:szCs w:val="28"/>
        </w:rPr>
        <w:t xml:space="preserve"> залоз.</w:t>
      </w:r>
      <w:r>
        <w:rPr>
          <w:sz w:val="28"/>
          <w:szCs w:val="28"/>
        </w:rPr>
        <w:t xml:space="preserve"> Вплив гормонів </w:t>
      </w:r>
      <w:proofErr w:type="spellStart"/>
      <w:r>
        <w:rPr>
          <w:sz w:val="28"/>
          <w:szCs w:val="28"/>
        </w:rPr>
        <w:t>прищитоподібних</w:t>
      </w:r>
      <w:proofErr w:type="spellEnd"/>
      <w:r>
        <w:rPr>
          <w:sz w:val="28"/>
          <w:szCs w:val="28"/>
        </w:rPr>
        <w:t xml:space="preserve"> залоз на обмін Кальцію та Фосфору. </w:t>
      </w:r>
      <w:proofErr w:type="spellStart"/>
      <w:r>
        <w:rPr>
          <w:sz w:val="28"/>
          <w:szCs w:val="28"/>
        </w:rPr>
        <w:t>Паратиреоїдин</w:t>
      </w:r>
      <w:proofErr w:type="spellEnd"/>
      <w:r>
        <w:rPr>
          <w:sz w:val="28"/>
          <w:szCs w:val="28"/>
        </w:rPr>
        <w:t xml:space="preserve">, форми випуску, фармакологічна дія, застосування. </w:t>
      </w:r>
      <w:proofErr w:type="spellStart"/>
      <w:r>
        <w:rPr>
          <w:sz w:val="28"/>
          <w:szCs w:val="28"/>
        </w:rPr>
        <w:t>Міокальцик</w:t>
      </w:r>
      <w:proofErr w:type="spellEnd"/>
      <w:r>
        <w:rPr>
          <w:sz w:val="28"/>
          <w:szCs w:val="28"/>
        </w:rPr>
        <w:t>, форми випуску, фармакологічна дія, застосування.</w:t>
      </w:r>
    </w:p>
    <w:p w:rsidR="00AE29BC" w:rsidRPr="00AE29BC" w:rsidRDefault="00AE29BC" w:rsidP="00AE29B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Препарати гормонів підшлункової залози.</w:t>
      </w:r>
      <w:r>
        <w:rPr>
          <w:sz w:val="28"/>
          <w:szCs w:val="28"/>
        </w:rPr>
        <w:t xml:space="preserve"> Вплив інсуліну на обмін речовин. Принципи його дозування та застосування при цукровому діабеті. Препарати інсуліну. Невідкладна допомога при </w:t>
      </w:r>
      <w:proofErr w:type="spellStart"/>
      <w:r>
        <w:rPr>
          <w:sz w:val="28"/>
          <w:szCs w:val="28"/>
        </w:rPr>
        <w:t>гіпоглікемічній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гіперглікемічній</w:t>
      </w:r>
      <w:proofErr w:type="spellEnd"/>
      <w:r>
        <w:rPr>
          <w:sz w:val="28"/>
          <w:szCs w:val="28"/>
        </w:rPr>
        <w:t xml:space="preserve"> комі.</w:t>
      </w:r>
    </w:p>
    <w:p w:rsidR="00AE29BC" w:rsidRDefault="00AE29BC" w:rsidP="00AE29B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Синтетичні </w:t>
      </w:r>
      <w:proofErr w:type="spellStart"/>
      <w:r>
        <w:rPr>
          <w:i/>
          <w:sz w:val="28"/>
          <w:szCs w:val="28"/>
        </w:rPr>
        <w:t>гіпоглікемічні</w:t>
      </w:r>
      <w:proofErr w:type="spellEnd"/>
      <w:r>
        <w:rPr>
          <w:i/>
          <w:sz w:val="28"/>
          <w:szCs w:val="28"/>
        </w:rPr>
        <w:t xml:space="preserve"> засоби:</w:t>
      </w:r>
      <w:r>
        <w:rPr>
          <w:sz w:val="28"/>
          <w:szCs w:val="28"/>
        </w:rPr>
        <w:t xml:space="preserve"> бутамід, </w:t>
      </w:r>
      <w:proofErr w:type="spellStart"/>
      <w:r>
        <w:rPr>
          <w:sz w:val="28"/>
          <w:szCs w:val="28"/>
        </w:rPr>
        <w:t>букарбан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глібутид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метформін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манініл</w:t>
      </w:r>
      <w:proofErr w:type="spellEnd"/>
      <w:r>
        <w:rPr>
          <w:sz w:val="28"/>
          <w:szCs w:val="28"/>
        </w:rPr>
        <w:t>. Механізм дії, застосування, побічна дія. Фітопрепарати при цукровому діабеті.</w:t>
      </w:r>
    </w:p>
    <w:p w:rsidR="00AE29BC" w:rsidRDefault="00AE29BC" w:rsidP="00AE29B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Препарати гормонів надниркових залоз.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Глюкокортикоїди</w:t>
      </w:r>
      <w:proofErr w:type="spellEnd"/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основні властивості (протизапальна, протиалергійна, імунодепресивна, протишокова, антитоксична), фізіологічне значення та вплив на обмін речовин. Основні препарати: гідрокортизону ацетат, преднізолон, </w:t>
      </w:r>
      <w:proofErr w:type="spellStart"/>
      <w:r>
        <w:rPr>
          <w:sz w:val="28"/>
          <w:szCs w:val="28"/>
        </w:rPr>
        <w:t>дексаметазон</w:t>
      </w:r>
      <w:proofErr w:type="spellEnd"/>
      <w:r>
        <w:rPr>
          <w:sz w:val="28"/>
          <w:szCs w:val="28"/>
        </w:rPr>
        <w:t>. Форми випуску, фармакологічна дія, показання до застосування, побічна дія, запобігання їй. Синдром відміни.</w:t>
      </w:r>
    </w:p>
    <w:p w:rsidR="00AE29BC" w:rsidRDefault="00AE29BC" w:rsidP="00AE29BC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Мінералокортикоїди</w:t>
      </w:r>
      <w:proofErr w:type="spellEnd"/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основні властивості, фізіологічне значення та вплив на обмін електролітів. </w:t>
      </w:r>
      <w:proofErr w:type="spellStart"/>
      <w:r>
        <w:rPr>
          <w:sz w:val="28"/>
          <w:szCs w:val="28"/>
        </w:rPr>
        <w:t>Дезоксикортикостерону</w:t>
      </w:r>
      <w:proofErr w:type="spellEnd"/>
      <w:r>
        <w:rPr>
          <w:sz w:val="28"/>
          <w:szCs w:val="28"/>
        </w:rPr>
        <w:t xml:space="preserve"> ацетат, форми випуску, фармакологічна дія, застосування.</w:t>
      </w:r>
    </w:p>
    <w:p w:rsidR="00AE29BC" w:rsidRDefault="00AE29BC" w:rsidP="00AE29B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Препарати гормонів чоловічих статевих органів.</w:t>
      </w:r>
      <w:r>
        <w:rPr>
          <w:i/>
          <w:sz w:val="28"/>
          <w:szCs w:val="28"/>
        </w:rPr>
        <w:t xml:space="preserve"> Андрогени,</w:t>
      </w:r>
      <w:r>
        <w:rPr>
          <w:sz w:val="28"/>
          <w:szCs w:val="28"/>
        </w:rPr>
        <w:t xml:space="preserve"> їх фізіологічне значення, вплив на обмін речовин. Препарати чоловічих статевих гормонів та їх синтетичні аналоги (тестостерону </w:t>
      </w:r>
      <w:proofErr w:type="spellStart"/>
      <w:r>
        <w:rPr>
          <w:sz w:val="28"/>
          <w:szCs w:val="28"/>
        </w:rPr>
        <w:t>пропіонат</w:t>
      </w:r>
      <w:proofErr w:type="spellEnd"/>
      <w:r>
        <w:rPr>
          <w:sz w:val="28"/>
          <w:szCs w:val="28"/>
        </w:rPr>
        <w:t>, метилтестостерон). Показання до призначення. Побічна дія. Протипоказання.</w:t>
      </w:r>
    </w:p>
    <w:p w:rsidR="00AE29BC" w:rsidRDefault="00AE29BC" w:rsidP="00AE2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Загальні відомості про </w:t>
      </w:r>
      <w:proofErr w:type="spellStart"/>
      <w:r>
        <w:rPr>
          <w:i/>
          <w:sz w:val="28"/>
          <w:szCs w:val="28"/>
        </w:rPr>
        <w:t>анаболічні</w:t>
      </w:r>
      <w:proofErr w:type="spellEnd"/>
      <w:r>
        <w:rPr>
          <w:i/>
          <w:sz w:val="28"/>
          <w:szCs w:val="28"/>
        </w:rPr>
        <w:t xml:space="preserve"> засоби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феноболін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метандростенолон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ретаболіл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Анаболічні</w:t>
      </w:r>
      <w:proofErr w:type="spellEnd"/>
      <w:r>
        <w:rPr>
          <w:sz w:val="28"/>
          <w:szCs w:val="28"/>
        </w:rPr>
        <w:t xml:space="preserve"> стероїди (калію </w:t>
      </w:r>
      <w:proofErr w:type="spellStart"/>
      <w:r>
        <w:rPr>
          <w:sz w:val="28"/>
          <w:szCs w:val="28"/>
        </w:rPr>
        <w:t>оротат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рибоксин</w:t>
      </w:r>
      <w:proofErr w:type="spellEnd"/>
      <w:r>
        <w:rPr>
          <w:sz w:val="28"/>
          <w:szCs w:val="28"/>
        </w:rPr>
        <w:t>). Основні властивості. Призначення. Побічна дія.</w:t>
      </w:r>
    </w:p>
    <w:p w:rsidR="00AE29BC" w:rsidRDefault="00AE29BC" w:rsidP="00AE29BC">
      <w:pPr>
        <w:rPr>
          <w:rFonts w:asciiTheme="minorHAnsi" w:hAnsiTheme="minorHAnsi" w:cstheme="minorBidi"/>
          <w:sz w:val="22"/>
          <w:szCs w:val="22"/>
        </w:rPr>
      </w:pPr>
    </w:p>
    <w:p w:rsidR="00046823" w:rsidRPr="00873739" w:rsidRDefault="00046823">
      <w:pPr>
        <w:rPr>
          <w:sz w:val="28"/>
          <w:szCs w:val="28"/>
        </w:rPr>
      </w:pPr>
      <w:bookmarkStart w:id="0" w:name="_GoBack"/>
      <w:bookmarkEnd w:id="0"/>
    </w:p>
    <w:sectPr w:rsidR="00046823" w:rsidRPr="0087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D0"/>
    <w:rsid w:val="00046823"/>
    <w:rsid w:val="006272D0"/>
    <w:rsid w:val="00873739"/>
    <w:rsid w:val="00A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2BD9"/>
  <w15:chartTrackingRefBased/>
  <w15:docId w15:val="{831657E5-F8AC-4CE7-8BB9-13C67EA3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873739"/>
    <w:pPr>
      <w:autoSpaceDE w:val="0"/>
      <w:autoSpaceDN w:val="0"/>
      <w:adjustRightInd w:val="0"/>
      <w:spacing w:after="0" w:line="220" w:lineRule="atLeast"/>
      <w:ind w:firstLine="283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Zag3">
    <w:name w:val="Zag3"/>
    <w:rsid w:val="00873739"/>
    <w:pPr>
      <w:autoSpaceDE w:val="0"/>
      <w:autoSpaceDN w:val="0"/>
      <w:adjustRightInd w:val="0"/>
      <w:spacing w:before="170" w:after="113" w:line="240" w:lineRule="auto"/>
      <w:ind w:firstLine="283"/>
    </w:pPr>
    <w:rPr>
      <w:rFonts w:ascii="SchoolBook" w:eastAsia="Times New Roman" w:hAnsi="SchoolBook" w:cs="Times New Roman"/>
      <w:b/>
      <w:bCs/>
      <w:i/>
      <w:iCs/>
      <w:sz w:val="20"/>
      <w:szCs w:val="20"/>
      <w:lang w:eastAsia="ru-RU"/>
    </w:rPr>
  </w:style>
  <w:style w:type="paragraph" w:customStyle="1" w:styleId="Zag2">
    <w:name w:val="Zag2"/>
    <w:rsid w:val="00873739"/>
    <w:pPr>
      <w:autoSpaceDE w:val="0"/>
      <w:autoSpaceDN w:val="0"/>
      <w:adjustRightInd w:val="0"/>
      <w:spacing w:before="283" w:after="170" w:line="240" w:lineRule="auto"/>
      <w:ind w:left="283"/>
    </w:pPr>
    <w:rPr>
      <w:rFonts w:ascii="SchoolBook" w:eastAsia="Times New Roman" w:hAnsi="SchoolBook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Речицкий Александр Наумович</cp:lastModifiedBy>
  <cp:revision>3</cp:revision>
  <dcterms:created xsi:type="dcterms:W3CDTF">2020-03-30T07:34:00Z</dcterms:created>
  <dcterms:modified xsi:type="dcterms:W3CDTF">2020-03-31T08:06:00Z</dcterms:modified>
</cp:coreProperties>
</file>